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采购需求</w:t>
      </w:r>
    </w:p>
    <w:p>
      <w:pPr>
        <w:pStyle w:val="2"/>
        <w:spacing w:before="0" w:beforeAutospacing="0" w:after="0" w:afterAutospacing="0" w:line="360" w:lineRule="auto"/>
        <w:jc w:val="center"/>
        <w:rPr>
          <w:rFonts w:asciiTheme="minorEastAsia" w:hAnsiTheme="minorEastAsia" w:eastAsiaTheme="minorEastAsia"/>
          <w:b/>
          <w:bCs/>
        </w:rPr>
      </w:pPr>
    </w:p>
    <w:p>
      <w:pPr>
        <w:pStyle w:val="13"/>
        <w:numPr>
          <w:ilvl w:val="0"/>
          <w:numId w:val="1"/>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项目名称：松江区档案馆</w:t>
      </w:r>
      <w:r>
        <w:rPr>
          <w:rFonts w:cs="仿宋" w:asciiTheme="minorEastAsia" w:hAnsiTheme="minorEastAsia" w:eastAsiaTheme="minorEastAsia"/>
          <w:b/>
          <w:color w:val="000000"/>
          <w:sz w:val="24"/>
          <w:szCs w:val="24"/>
        </w:rPr>
        <w:t>报刊</w:t>
      </w:r>
      <w:r>
        <w:rPr>
          <w:rFonts w:hint="eastAsia" w:cs="仿宋" w:asciiTheme="minorEastAsia" w:hAnsiTheme="minorEastAsia" w:eastAsiaTheme="minorEastAsia"/>
          <w:b/>
          <w:color w:val="000000"/>
          <w:sz w:val="24"/>
          <w:szCs w:val="24"/>
        </w:rPr>
        <w:t>资料</w:t>
      </w:r>
      <w:r>
        <w:rPr>
          <w:rFonts w:cs="仿宋" w:asciiTheme="minorEastAsia" w:hAnsiTheme="minorEastAsia" w:eastAsiaTheme="minorEastAsia"/>
          <w:b/>
          <w:color w:val="000000"/>
          <w:sz w:val="24"/>
          <w:szCs w:val="24"/>
        </w:rPr>
        <w:t>抢救保护</w:t>
      </w:r>
      <w:r>
        <w:rPr>
          <w:rFonts w:hint="eastAsia" w:cs="仿宋" w:asciiTheme="minorEastAsia" w:hAnsiTheme="minorEastAsia" w:eastAsiaTheme="minorEastAsia"/>
          <w:b/>
          <w:color w:val="000000"/>
          <w:sz w:val="24"/>
          <w:szCs w:val="24"/>
        </w:rPr>
        <w:t>项目</w:t>
      </w:r>
    </w:p>
    <w:p>
      <w:pPr>
        <w:spacing w:line="360" w:lineRule="auto"/>
        <w:rPr>
          <w:rFonts w:cs="仿宋" w:asciiTheme="minorEastAsia" w:hAnsiTheme="minorEastAsia" w:eastAsiaTheme="minorEastAsia"/>
          <w:b/>
          <w:color w:val="000000"/>
          <w:sz w:val="24"/>
          <w:szCs w:val="24"/>
        </w:rPr>
      </w:pPr>
    </w:p>
    <w:tbl>
      <w:tblPr>
        <w:tblStyle w:val="6"/>
        <w:tblW w:w="8787" w:type="dxa"/>
        <w:jc w:val="center"/>
        <w:tblLayout w:type="autofit"/>
        <w:tblCellMar>
          <w:top w:w="0" w:type="dxa"/>
          <w:left w:w="108" w:type="dxa"/>
          <w:bottom w:w="0" w:type="dxa"/>
          <w:right w:w="108" w:type="dxa"/>
        </w:tblCellMar>
      </w:tblPr>
      <w:tblGrid>
        <w:gridCol w:w="808"/>
        <w:gridCol w:w="3264"/>
        <w:gridCol w:w="2060"/>
        <w:gridCol w:w="909"/>
        <w:gridCol w:w="1746"/>
      </w:tblGrid>
      <w:tr>
        <w:tblPrEx>
          <w:tblCellMar>
            <w:top w:w="0" w:type="dxa"/>
            <w:left w:w="108" w:type="dxa"/>
            <w:bottom w:w="0" w:type="dxa"/>
            <w:right w:w="108" w:type="dxa"/>
          </w:tblCellMar>
        </w:tblPrEx>
        <w:trPr>
          <w:trHeight w:val="450" w:hRule="atLeast"/>
          <w:jc w:val="center"/>
        </w:trPr>
        <w:tc>
          <w:tcPr>
            <w:tcW w:w="8787" w:type="dxa"/>
            <w:gridSpan w:val="5"/>
            <w:tcBorders>
              <w:top w:val="nil"/>
              <w:left w:val="nil"/>
              <w:bottom w:val="nil"/>
              <w:right w:val="nil"/>
            </w:tcBorders>
            <w:shd w:val="clear" w:color="auto" w:fill="auto"/>
            <w:noWrap/>
            <w:vAlign w:val="center"/>
          </w:tcPr>
          <w:p>
            <w:pPr>
              <w:pStyle w:val="13"/>
              <w:numPr>
                <w:ilvl w:val="0"/>
                <w:numId w:val="2"/>
              </w:numPr>
              <w:spacing w:line="360" w:lineRule="auto"/>
              <w:ind w:firstLineChars="0"/>
              <w:rPr>
                <w:rFonts w:cs="宋体" w:asciiTheme="minorEastAsia" w:hAnsiTheme="minorEastAsia" w:eastAsiaTheme="minorEastAsia"/>
                <w:b/>
                <w:bCs/>
                <w:color w:val="000000"/>
                <w:kern w:val="0"/>
                <w:sz w:val="24"/>
                <w:szCs w:val="24"/>
              </w:rPr>
            </w:pPr>
            <w:r>
              <w:rPr>
                <w:rFonts w:hint="eastAsia" w:cs="仿宋" w:asciiTheme="minorEastAsia" w:hAnsiTheme="minorEastAsia" w:eastAsiaTheme="minorEastAsia"/>
                <w:b/>
                <w:color w:val="000000"/>
                <w:sz w:val="24"/>
                <w:szCs w:val="24"/>
              </w:rPr>
              <w:t>招标清单</w:t>
            </w:r>
          </w:p>
        </w:tc>
      </w:tr>
      <w:tr>
        <w:tblPrEx>
          <w:tblCellMar>
            <w:top w:w="0" w:type="dxa"/>
            <w:left w:w="108" w:type="dxa"/>
            <w:bottom w:w="0" w:type="dxa"/>
            <w:right w:w="108" w:type="dxa"/>
          </w:tblCellMar>
        </w:tblPrEx>
        <w:trPr>
          <w:trHeight w:val="43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序号</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名称</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cs="宋体" w:asciiTheme="minorEastAsia" w:hAnsiTheme="minorEastAsia" w:eastAsiaTheme="minorEastAsia"/>
                <w:bCs/>
                <w:color w:val="000000"/>
                <w:kern w:val="0"/>
                <w:sz w:val="24"/>
                <w:szCs w:val="24"/>
              </w:rPr>
            </w:pPr>
            <w:r>
              <w:rPr>
                <w:rFonts w:hint="eastAsia" w:cs="宋体" w:asciiTheme="minorEastAsia" w:hAnsiTheme="minorEastAsia" w:eastAsiaTheme="minorEastAsia"/>
                <w:bCs/>
                <w:color w:val="000000"/>
                <w:kern w:val="0"/>
                <w:sz w:val="24"/>
                <w:szCs w:val="24"/>
              </w:rPr>
              <w:t>数量</w:t>
            </w:r>
          </w:p>
        </w:tc>
      </w:tr>
      <w:tr>
        <w:tblPrEx>
          <w:tblCellMar>
            <w:top w:w="0" w:type="dxa"/>
            <w:left w:w="108" w:type="dxa"/>
            <w:bottom w:w="0" w:type="dxa"/>
            <w:right w:w="108" w:type="dxa"/>
          </w:tblCellMar>
        </w:tblPrEx>
        <w:trPr>
          <w:trHeight w:val="43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3264"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报</w:t>
            </w:r>
            <w:r>
              <w:rPr>
                <w:rFonts w:hint="eastAsia" w:cs="宋体" w:asciiTheme="minorEastAsia" w:hAnsiTheme="minorEastAsia" w:eastAsiaTheme="minorEastAsia"/>
                <w:color w:val="000000"/>
                <w:kern w:val="0"/>
                <w:sz w:val="24"/>
                <w:szCs w:val="24"/>
              </w:rPr>
              <w:t>刊</w:t>
            </w:r>
            <w:r>
              <w:rPr>
                <w:rFonts w:hint="eastAsia" w:cs="宋体" w:asciiTheme="minorEastAsia" w:hAnsiTheme="minorEastAsia" w:eastAsiaTheme="minorEastAsia"/>
                <w:color w:val="000000"/>
                <w:kern w:val="0"/>
                <w:sz w:val="24"/>
                <w:szCs w:val="24"/>
                <w:lang w:eastAsia="zh-CN"/>
              </w:rPr>
              <w:t>、资料</w:t>
            </w:r>
            <w:r>
              <w:rPr>
                <w:rFonts w:hint="eastAsia" w:cs="宋体" w:asciiTheme="minorEastAsia" w:hAnsiTheme="minorEastAsia" w:eastAsiaTheme="minorEastAsia"/>
                <w:color w:val="000000"/>
                <w:kern w:val="0"/>
                <w:sz w:val="24"/>
                <w:szCs w:val="24"/>
              </w:rPr>
              <w:t>脱酸</w:t>
            </w:r>
          </w:p>
        </w:tc>
        <w:tc>
          <w:tcPr>
            <w:tcW w:w="2060"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A2（A</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9500</w:t>
            </w:r>
          </w:p>
        </w:tc>
      </w:tr>
      <w:tr>
        <w:tblPrEx>
          <w:tblCellMar>
            <w:top w:w="0" w:type="dxa"/>
            <w:left w:w="108" w:type="dxa"/>
            <w:bottom w:w="0" w:type="dxa"/>
            <w:right w:w="108" w:type="dxa"/>
          </w:tblCellMar>
        </w:tblPrEx>
        <w:trPr>
          <w:trHeight w:val="43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3264"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资料脱</w:t>
            </w:r>
            <w:r>
              <w:rPr>
                <w:rFonts w:cs="宋体" w:asciiTheme="minorEastAsia" w:hAnsiTheme="minorEastAsia" w:eastAsiaTheme="minorEastAsia"/>
                <w:color w:val="000000"/>
                <w:kern w:val="0"/>
                <w:sz w:val="24"/>
                <w:szCs w:val="24"/>
              </w:rPr>
              <w:t>酸</w:t>
            </w:r>
          </w:p>
        </w:tc>
        <w:tc>
          <w:tcPr>
            <w:tcW w:w="2060"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（A</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10000</w:t>
            </w:r>
          </w:p>
        </w:tc>
      </w:tr>
      <w:tr>
        <w:tblPrEx>
          <w:tblCellMar>
            <w:top w:w="0" w:type="dxa"/>
            <w:left w:w="108" w:type="dxa"/>
            <w:bottom w:w="0" w:type="dxa"/>
            <w:right w:w="108" w:type="dxa"/>
          </w:tblCellMar>
        </w:tblPrEx>
        <w:trPr>
          <w:trHeight w:val="439"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3264"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报刊</w:t>
            </w:r>
            <w:r>
              <w:rPr>
                <w:rFonts w:cs="宋体" w:asciiTheme="minorEastAsia" w:hAnsiTheme="minorEastAsia" w:eastAsiaTheme="minorEastAsia"/>
                <w:color w:val="000000"/>
                <w:kern w:val="0"/>
                <w:sz w:val="24"/>
                <w:szCs w:val="24"/>
              </w:rPr>
              <w:t>资料</w:t>
            </w:r>
            <w:r>
              <w:rPr>
                <w:rFonts w:hint="eastAsia" w:cs="宋体" w:asciiTheme="minorEastAsia" w:hAnsiTheme="minorEastAsia" w:eastAsiaTheme="minorEastAsia"/>
                <w:color w:val="000000"/>
                <w:kern w:val="0"/>
                <w:sz w:val="24"/>
                <w:szCs w:val="24"/>
              </w:rPr>
              <w:t>修复</w:t>
            </w:r>
          </w:p>
        </w:tc>
        <w:tc>
          <w:tcPr>
            <w:tcW w:w="2060"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A4（A</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2000</w:t>
            </w:r>
          </w:p>
        </w:tc>
      </w:tr>
    </w:tbl>
    <w:p>
      <w:pPr>
        <w:spacing w:line="360" w:lineRule="auto"/>
        <w:rPr>
          <w:rFonts w:cs="仿宋" w:asciiTheme="minorEastAsia" w:hAnsiTheme="minorEastAsia" w:eastAsiaTheme="minorEastAsia"/>
          <w:color w:val="000000"/>
          <w:sz w:val="24"/>
          <w:szCs w:val="24"/>
        </w:rPr>
      </w:pPr>
    </w:p>
    <w:p>
      <w:pPr>
        <w:pStyle w:val="13"/>
        <w:numPr>
          <w:ilvl w:val="0"/>
          <w:numId w:val="2"/>
        </w:numPr>
        <w:spacing w:line="360" w:lineRule="auto"/>
        <w:ind w:firstLineChars="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项目预算</w:t>
      </w:r>
    </w:p>
    <w:p>
      <w:pPr>
        <w:pStyle w:val="13"/>
        <w:numPr>
          <w:ilvl w:val="0"/>
          <w:numId w:val="0"/>
        </w:numPr>
        <w:spacing w:line="360" w:lineRule="auto"/>
        <w:ind w:left="120" w:leftChars="0"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报价不得超过</w:t>
      </w:r>
      <w:r>
        <w:rPr>
          <w:rFonts w:hint="eastAsia" w:cs="仿宋" w:asciiTheme="minorEastAsia" w:hAnsiTheme="minorEastAsia" w:eastAsiaTheme="minorEastAsia"/>
          <w:color w:val="000000"/>
          <w:sz w:val="24"/>
          <w:szCs w:val="24"/>
          <w:lang w:val="en-US" w:eastAsia="zh-CN"/>
        </w:rPr>
        <w:t>450000</w:t>
      </w:r>
      <w:r>
        <w:rPr>
          <w:rFonts w:hint="eastAsia" w:cs="仿宋" w:asciiTheme="minorEastAsia" w:hAnsiTheme="minorEastAsia" w:eastAsiaTheme="minorEastAsia"/>
          <w:color w:val="000000"/>
          <w:sz w:val="24"/>
          <w:szCs w:val="24"/>
        </w:rPr>
        <w:t>元</w:t>
      </w:r>
    </w:p>
    <w:p>
      <w:pPr>
        <w:spacing w:line="360" w:lineRule="auto"/>
        <w:rPr>
          <w:rFonts w:cs="仿宋" w:asciiTheme="minorEastAsia" w:hAnsiTheme="minorEastAsia" w:eastAsiaTheme="minorEastAsia"/>
          <w:color w:val="000000"/>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付款方式</w:t>
      </w:r>
    </w:p>
    <w:p>
      <w:pPr>
        <w:spacing w:line="360" w:lineRule="auto"/>
        <w:ind w:firstLine="480" w:firstLineChars="200"/>
        <w:jc w:val="lef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1、预付款：合同签订后，付合同金额50%</w:t>
      </w:r>
    </w:p>
    <w:p>
      <w:pPr>
        <w:spacing w:line="360" w:lineRule="auto"/>
        <w:ind w:firstLine="480" w:firstLineChars="200"/>
        <w:jc w:val="lef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2、余款：项目竣工验收办理结算后付清余款</w:t>
      </w:r>
    </w:p>
    <w:p>
      <w:pPr>
        <w:spacing w:line="360" w:lineRule="auto"/>
        <w:ind w:firstLine="480" w:firstLineChars="200"/>
        <w:jc w:val="lef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备注：项目结束后办理竣工结算，单价不变，数量按实际完成计算，但</w:t>
      </w:r>
      <w:r>
        <w:rPr>
          <w:rFonts w:cs="仿宋" w:asciiTheme="minorEastAsia" w:hAnsiTheme="minorEastAsia" w:eastAsiaTheme="minorEastAsia"/>
          <w:color w:val="000000"/>
          <w:sz w:val="24"/>
          <w:szCs w:val="24"/>
        </w:rPr>
        <w:t>不超总价</w:t>
      </w:r>
      <w:r>
        <w:rPr>
          <w:rFonts w:hint="eastAsia" w:cs="仿宋" w:asciiTheme="minorEastAsia" w:hAnsiTheme="minorEastAsia" w:eastAsiaTheme="minorEastAsia"/>
          <w:color w:val="000000"/>
          <w:sz w:val="24"/>
          <w:szCs w:val="24"/>
        </w:rPr>
        <w:t>。</w:t>
      </w:r>
    </w:p>
    <w:p>
      <w:pPr>
        <w:spacing w:line="360" w:lineRule="auto"/>
        <w:ind w:firstLine="480" w:firstLineChars="200"/>
        <w:jc w:val="left"/>
        <w:rPr>
          <w:rFonts w:cs="仿宋" w:asciiTheme="minorEastAsia" w:hAnsiTheme="minorEastAsia" w:eastAsiaTheme="minorEastAsia"/>
          <w:color w:val="000000"/>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项目验收方式</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采购人组织</w:t>
      </w:r>
      <w:bookmarkStart w:id="0" w:name="_GoBack"/>
      <w:bookmarkEnd w:id="0"/>
      <w:r>
        <w:rPr>
          <w:rFonts w:hint="eastAsia" w:cs="仿宋" w:asciiTheme="minorEastAsia" w:hAnsiTheme="minorEastAsia" w:eastAsiaTheme="minorEastAsia"/>
          <w:color w:val="000000"/>
          <w:sz w:val="24"/>
          <w:szCs w:val="24"/>
        </w:rPr>
        <w:t>验收。</w:t>
      </w:r>
    </w:p>
    <w:p>
      <w:pPr>
        <w:spacing w:line="360" w:lineRule="auto"/>
        <w:rPr>
          <w:rFonts w:cs="仿宋" w:asciiTheme="minorEastAsia" w:hAnsiTheme="minorEastAsia" w:eastAsiaTheme="minorEastAsia"/>
          <w:color w:val="000000"/>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服务期限、质保期及售后服务：</w:t>
      </w:r>
    </w:p>
    <w:p>
      <w:pPr>
        <w:pStyle w:val="13"/>
        <w:spacing w:line="360" w:lineRule="auto"/>
        <w:ind w:left="420" w:firstLine="0" w:firstLineChars="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合同签订之日起</w:t>
      </w:r>
      <w:r>
        <w:rPr>
          <w:rFonts w:cs="仿宋" w:asciiTheme="minorEastAsia" w:hAnsiTheme="minorEastAsia" w:eastAsiaTheme="minorEastAsia"/>
          <w:color w:val="000000"/>
          <w:sz w:val="24"/>
          <w:szCs w:val="24"/>
        </w:rPr>
        <w:t>3</w:t>
      </w:r>
      <w:r>
        <w:rPr>
          <w:rFonts w:hint="eastAsia" w:cs="仿宋" w:asciiTheme="minorEastAsia" w:hAnsiTheme="minorEastAsia" w:eastAsiaTheme="minorEastAsia"/>
          <w:color w:val="000000"/>
          <w:sz w:val="24"/>
          <w:szCs w:val="24"/>
        </w:rPr>
        <w:t>个月内完成，验收通过后免费质保24月。售后服务要求7*24小时响应。</w:t>
      </w:r>
    </w:p>
    <w:p>
      <w:pPr>
        <w:spacing w:line="360" w:lineRule="auto"/>
        <w:rPr>
          <w:rFonts w:cs="仿宋" w:asciiTheme="minorEastAsia" w:hAnsiTheme="minorEastAsia" w:eastAsiaTheme="minorEastAsia"/>
          <w:color w:val="000000"/>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技术要求：</w:t>
      </w:r>
    </w:p>
    <w:p>
      <w:pPr>
        <w:pStyle w:val="12"/>
        <w:numPr>
          <w:ilvl w:val="1"/>
          <w:numId w:val="3"/>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修复技术要求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应采用传统纯手工工艺为主的档案修复技术，遵循适宜性、相似性、可逆性和最小干预原则。根据本项目的需求，配备合理设备，合理的人员队伍，修复作业的工作效率应与项目进度安排匹配。</w:t>
      </w:r>
    </w:p>
    <w:p>
      <w:pPr>
        <w:pStyle w:val="12"/>
        <w:numPr>
          <w:ilvl w:val="0"/>
          <w:numId w:val="4"/>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修复用纸应选择PH值呈中性或弱碱性、质地、厚薄、颜色与档案原纸相同或相近的宣纸、书画纸（棉纸、皮纸、竹纸等）。品相上根据“宁浅勿深”、“宁薄勿厚”的原则配纸。</w:t>
      </w:r>
    </w:p>
    <w:p>
      <w:pPr>
        <w:pStyle w:val="12"/>
        <w:numPr>
          <w:ilvl w:val="0"/>
          <w:numId w:val="4"/>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修复粘合剂应选择去了面筋的小麦淀粉、木薯淀粉等调制的碱性可逆性浆糊，浆糊内不得添加明矾。严禁使用白乳胶、透明胶带、固体胶、液体胶水、双面胶等粘合剂直接接触档案载体。</w:t>
      </w:r>
    </w:p>
    <w:p>
      <w:pPr>
        <w:pStyle w:val="12"/>
        <w:numPr>
          <w:ilvl w:val="0"/>
          <w:numId w:val="4"/>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修复应根据档案原件的情况，采取补缺、接边、溜口、溜边、挖补、闷水、压平、托裱、干托、湿托、飞托、双面有字档案托裱、丝网加固、手工纸浆修补、机械纸浆修补等技术方法进行修复。</w:t>
      </w:r>
    </w:p>
    <w:p>
      <w:pPr>
        <w:pStyle w:val="12"/>
        <w:numPr>
          <w:ilvl w:val="0"/>
          <w:numId w:val="4"/>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档案进行修复前，先进行状况调查，根据《DA/T 64.2-2017纸质档案抢救与修复规范</w:t>
      </w:r>
      <w:r>
        <w:rPr>
          <w:rFonts w:hint="eastAsia" w:hAnsi="MS Mincho" w:eastAsia="MS Mincho" w:cs="MS Mincho" w:asciiTheme="minorEastAsia"/>
          <w:sz w:val="24"/>
          <w:szCs w:val="24"/>
        </w:rPr>
        <w:t> </w:t>
      </w:r>
      <w:r>
        <w:rPr>
          <w:rFonts w:hint="eastAsia" w:asciiTheme="minorEastAsia" w:hAnsiTheme="minorEastAsia" w:eastAsiaTheme="minorEastAsia"/>
          <w:sz w:val="24"/>
          <w:szCs w:val="24"/>
        </w:rPr>
        <w:t>第2部分：档案保存状况的调查方法》实施。首先确定调查范围、抽样比例和调查对象。调取档案后，逐项对档案的年代，形制、纸张类型、字迹类型、装订类型、保存环境以及纸张状况，品相，如发黄、发脆、污染、破损等现象进行调查评估，并记录在状况调查表。根据调查情况对破损等级进行划分，包括轻度破损、中度破损、严重破损和特残破损。再根据档案破损定级情况制定和选择合理有效的修复方案。所有修复的档案保存修复前后的图像。修复工作完成后填写修复记录表。</w:t>
      </w:r>
    </w:p>
    <w:p>
      <w:pPr>
        <w:pStyle w:val="12"/>
        <w:numPr>
          <w:ilvl w:val="1"/>
          <w:numId w:val="3"/>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脱酸技术要求</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应采用无水脱酸技术，所采用的无水脱酸技术应完全满足本项目报纸档案脱酸工作应把握的基本原则和质量要求，根据本项目的需求，配备合理设备，采用成熟工艺，使本项目脱酸工作能够兼具质量和效率。</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对于拆卷为单页的破损报纸档案，可采用自动连续传输喷雾脱酸机进行脱酸作业（需提供设备简介）；</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脱酸材料应含钙、镁金属化合物作为脱酸材料中的有效成分中和纸张中酸性物质；</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脱酸材料中的有效成分应具有合适的粒径，为有效渗透到纤维结构内部D90分布不应超过1微米，为避免使用者吸入和皮肤接触时的潜在危害，D90分布不应低于0.01微米；（需提供检测报告）</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脱酸材料中的载体剂用于输送有效成分到纸张纤维结构内部，载体剂功能完成后不能残留在纸张上；</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脱酸材料应不可燃、不易爆，无无氧化性、腐蚀性和放射性；</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脱酸材料应稳定性良好，载体剂为有机溶剂的混悬液类型的脱酸材料，其稳定性即指保持分散状态的能力，需有24小时稳定性试验数据；（需提供检测报告）</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脱酸效果：纸样的pH值、白度、抗张强度（纵向）、耐折度（纵向）需要出具依据相关测试方法标准检测的数据（需提供带有中国计量认证CMA标志、中国合格评定国家认可委员会认证CNAS标志的检测报告）；</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脱酸材料应安全，需对皮肤刺激性、急性吸入毒性进行检测（需提供带有中国计量认证CMA标志、中国合格评定国家认可委员会认证CNAS标志的检测报告）；</w:t>
      </w:r>
    </w:p>
    <w:p>
      <w:pPr>
        <w:pStyle w:val="12"/>
        <w:numPr>
          <w:ilvl w:val="0"/>
          <w:numId w:val="5"/>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脱酸作业室内空气质量控制能力：氨、甲醛、苯、甲苯、二甲苯、可吸入颗粒PM10释放量符合《室内空气质量标准》（需提供带有中国计量认证CMA标志、中国合格评定国家认可委员会认证CNAS标志的检测报告）；</w:t>
      </w:r>
    </w:p>
    <w:p>
      <w:pPr>
        <w:pStyle w:val="12"/>
        <w:numPr>
          <w:ilvl w:val="0"/>
          <w:numId w:val="0"/>
        </w:numPr>
        <w:spacing w:line="360" w:lineRule="auto"/>
        <w:ind w:leftChars="0"/>
        <w:rPr>
          <w:rFonts w:asciiTheme="minorEastAsia" w:hAnsiTheme="minorEastAsia" w:eastAsiaTheme="minorEastAsia"/>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质量要求</w:t>
      </w:r>
    </w:p>
    <w:p>
      <w:pPr>
        <w:pStyle w:val="12"/>
        <w:numPr>
          <w:ilvl w:val="1"/>
          <w:numId w:val="6"/>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脱酸质量要求</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脱酸后纸张呈现中性至碱性，pH值为7.0-9.5之间；</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脱酸后纸张保留一定的碱存量，碱存量在0.5%-2.5%之间；</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脱酸应均匀，脱酸剂有效成分均匀渗透到纸张纤维之间；</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脱酸应彻底，脱酸后的纸张不出现返酸现象；</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脱酸后，液体全部挥发，纸张表面无肉眼可见的物质残留；</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脱酸处理不影响纸张原貌，不影响纸张纤维结构，不导致纸张品相的变化，不出现变形、皱褶、膨胀、粘连；</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脱酸处理基本不影响纸张幅面、定量、含水量、厚度、粗糙度、柔韧度、白度，不影响纸张抗拉强度，耐折性，撕裂性；</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脱酸处理不影响字迹，包括墨汁、蓝墨水、红墨水、印章、栏线、铅笔、油墨等各种水溶性或油溶性字迹材料无洇化、脱落、褪色、扩散、背透现象，字迹的耐光、耐热、耐碱、耐水、耐酸等能力有所增加；</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脱酸处理不破坏粘接剂、纸张染料和装订材料；</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破损严重，机械强度差的纸张应先修复后再脱酸；</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应保持纸张原貌，不得损害原件上任何历史痕迹；</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脱酸后的档案案卷应保持原来的卷内文件顺序；</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不得在纸张上添加任何字迹，脱酸过程中需要标注顺序时，必须使用铅笔做标注，脱酸完成后用橡皮将标注擦除；</w:t>
      </w:r>
    </w:p>
    <w:p>
      <w:pPr>
        <w:pStyle w:val="12"/>
        <w:numPr>
          <w:ilvl w:val="0"/>
          <w:numId w:val="7"/>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档案在脱酸过程中不能造成二次损害。</w:t>
      </w:r>
    </w:p>
    <w:p>
      <w:pPr>
        <w:pStyle w:val="12"/>
        <w:numPr>
          <w:ilvl w:val="1"/>
          <w:numId w:val="6"/>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修复质量要求</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最大限度地真实反映档案原貌，不得损坏、丢失档案字迹、标签等一切档案原有信息；</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字迹无洇化、无褪色；</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字迹、接口处图案印章拼对要准确，不得出现错位、歪斜、重叠、断开现象，栏线、图线横平竖直不扭曲；</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字迹、印章、画线、图线和其它历史痕迹无损伤，无脱落，裱糊时不得被刷坏或刷花，字迹上不得被刷出皱褶，字迹上原有的重叠不得刷开；</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不得在档案上添加任何字迹，修复过程中需要标注顺序时，必须使用铅笔做标注，修复完成后用橡皮将标注擦除。</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档案经修裱后要恢复原样，即恢复原有形制；</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配纸时使用与原档案纸张颜色相近的补纸，补纸纹路与档案纸张纹路一致；</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配置时托纸的颜色应当比原档案纸张颜色较浅，厚度比档案纸张稍薄，补洞纸和加边纸应一致，厚薄均匀，平整柔软；</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托裱档案不得托反，档案背面的字迹信息不得覆盖；</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碎块还原，拼对要准确、无错位、无丢失、不露白，筒子页拼对整齐，中缝对接紧凑、不离不叠；</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裱件正反面两面均无皱褶，要平整、光洁、手感薄而柔软；</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修复后的档案不得出现崩裂、起翘或空壳现象；</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磨损严重的筒子页应用2厘米宽的棉纸条溜口，补洞、加边纸略大于档案破损处，搭界部分应控制在0.2厘米以内,补纸搭扣不得超过2毫米（纸张强度较差的档案可以适当加宽搭扣）；</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档案纸张与托纸粘合牢固，直观无重皮现象，用手剥离档案原纸与托纸粘附不被破坏；</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档案字迹、边栏、印章等书写内容不能有洇化、褪色现象发生，凡遇上述情况必须采取修补、干裱或加固字迹后方可湿裱；</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档案补纸、加边纸不得用裁纸刀裁切，覆背纸必须为整张纸，特殊情况下（大幅图表）允许拼接覆背纸，搭边不能宽于0.2厘米；</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档案上墙前，应均匀排实，使档案纸张与托纸粘合紧密牢固，无重皮、重叠、错位现象；</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档案在干燥过程中不能有崩裂、生霉现象，裱件下墙操作中不能发生撕裂损伤；</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档案裱件应自然干燥，小幅面托件在墙上干燥时间不少于1天，大幅面托件干燥时间不少于3天，方可下墙；</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双面字迹档案应采用透明度强的手工纸进行修裱，确保文字内容清晰、可见，不影响扫描、阅读和识别；</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裱件正反面两面均无皱褶，要平整、光洁、手感薄而柔软；</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修裱档案浆糊应随用随调，并经过过滤，不准使用发霉发酵变质浆糊。</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修补的部位厚薄要均匀，平整柔软，捶平应达到平整匀称，无捶痕；</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修复后的档案应该平整，不得出现人为褶皱、压字现象；</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表面干净，档案上凡影响阅读的霉斑、污斑应尽可能去除掉，不得出现新增霉斑或其它污染情况；</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折叠时按照档案原有的折痕折叠，不得人为更改褶痕，档案纸张原有的褶皱忽略不计；</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修补的档案在压平、干燥过程中应经常更换吸水纸，防止生霉和变形。</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档案裁切时上下底应留边，以便成卷成册装订；</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裁切时不得损伤档案原件，裁切后档案没有毛茬，歪斜；</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裁切准确，不损伤字迹，不裁小原纸;刀口整齐，平直，无毛边，无接刀痕迹，厚本裁切口要上下垂直一致，无坡度；</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裁切时应避免伤及档案，表格和划有栏线的档案，裁切时档案四边要与栏线平行；</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裁切后档案应平放或卷放，确需折叠的，档案的长、宽应略小于卷皮的长、宽；</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裁切、折叠好的档案应按张页顺序排列，将底边和装订边排列整齐后，压实压平。</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缺失封面（底）档案要添加与档案纸张颜色相近的纸张作为封面（底）；</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插页应按原插印插齐，不得有污垢污染；</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打眼匀称美观，打结牢固，不使用金属材料；</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装订线上无压字,订线的精细与档案厚薄协调，订线的颜色与档案封皮颜色协调；</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装订成册后要整齐美观，便于翻阅；</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装订档案时应保持原来的卷内文件顺序，档案分段修复后，粘接时不得乱序，书籍、薄册类等档案装订时，应该核查页码顺序，不得乱序；</w:t>
      </w:r>
    </w:p>
    <w:p>
      <w:pPr>
        <w:pStyle w:val="12"/>
        <w:numPr>
          <w:ilvl w:val="0"/>
          <w:numId w:val="8"/>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较厚的档案按三孔一线用棉线装订，较薄的案卷用纸捻装订，做到结实、整齐，不掉页、不倒页。</w:t>
      </w:r>
    </w:p>
    <w:p>
      <w:pPr>
        <w:pStyle w:val="12"/>
        <w:numPr>
          <w:ilvl w:val="0"/>
          <w:numId w:val="0"/>
        </w:numPr>
        <w:spacing w:line="360" w:lineRule="auto"/>
        <w:ind w:leftChars="0"/>
        <w:rPr>
          <w:rFonts w:asciiTheme="minorEastAsia" w:hAnsiTheme="minorEastAsia" w:eastAsiaTheme="minorEastAsia"/>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实施要求</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1、工艺流程</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 xml:space="preserve">  </w:t>
      </w:r>
      <w:r>
        <w:rPr>
          <w:rFonts w:hint="eastAsia" w:cs="仿宋" w:asciiTheme="minorEastAsia" w:hAnsiTheme="minorEastAsia" w:eastAsiaTheme="minorEastAsia"/>
          <w:color w:val="000000"/>
          <w:sz w:val="24"/>
          <w:szCs w:val="24"/>
        </w:rPr>
        <w:t xml:space="preserve">  除尘消杀、修裱、脱酸、装订成册、绝氧消毒封存。</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2、工作场地</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在采购人认可的工作场地进行。</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2、设备</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成交人免费提供。</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3、人员</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成交人应提供项目团队人员信息表给档案馆备案，项目期内，应指定项目负责人与档案馆对接，项目负责人未经双方协商同意，不得随意调换，调换人员须向档案馆书面报备。</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4、档案交接</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成交人需按照档案馆指定的地点和时间领取档案资料，并与档案馆工作人员做好交接记录。</w:t>
      </w:r>
    </w:p>
    <w:p>
      <w:pPr>
        <w:spacing w:line="360" w:lineRule="auto"/>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5、质检</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成交人须制订相关质检制度，抽检数量为5%，经采购人认可后，对加工完成的档案进行全面质量检验，由项目负责人签字确认，并经采购人抽查认可后，方可档案上架。</w:t>
      </w:r>
    </w:p>
    <w:p>
      <w:pPr>
        <w:spacing w:line="360" w:lineRule="auto"/>
        <w:rPr>
          <w:rFonts w:asciiTheme="minorEastAsia" w:hAnsiTheme="minorEastAsia" w:eastAsiaTheme="minorEastAsia"/>
          <w:sz w:val="24"/>
          <w:szCs w:val="24"/>
        </w:rPr>
      </w:pPr>
    </w:p>
    <w:p>
      <w:pPr>
        <w:pStyle w:val="13"/>
        <w:numPr>
          <w:ilvl w:val="0"/>
          <w:numId w:val="2"/>
        </w:numPr>
        <w:spacing w:line="360" w:lineRule="auto"/>
        <w:ind w:firstLineChars="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安全要求</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1、成交人必须严格遵守松江区档案局各项规章制度，采取必要措施确保档案实体和信息的保密和安全。成交人承诺的服务质量与进度必须满足本项目招标的要求。在提供服务的过程中，如发生影响服务质量与进度的事件时应在第一时间与采购人沟通解决。否则，由此影响服务质量或进度并产生不良后果的，由成交人承担一切损失，后果严重的，采购人有权解除与成交人的合同。</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2、成交人须在合同中进行责任约定，签订安全保密协议。工作人员必须遵守相关保密制度，不得以任何形式进行泄漏、传播；不得无故查看及讨论档案内容。需确保档案的安全，提供详细的安全管理措施和管理方案。</w:t>
      </w: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  3、严格执行档案的交接手续，交接时双方应仔细查对原件的状况，并登记签字确认。修复完成经采购人检查质量合格，双方确认无误后签字完成移交。</w:t>
      </w:r>
    </w:p>
    <w:p>
      <w:pPr>
        <w:spacing w:line="360" w:lineRule="auto"/>
        <w:jc w:val="left"/>
        <w:rPr>
          <w:rFonts w:cs="仿宋" w:asciiTheme="minorEastAsia" w:hAnsiTheme="minorEastAsia" w:eastAsiaTheme="minorEastAsia"/>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MS Mincho">
    <w:altName w:val="方正书宋_GBK"/>
    <w:panose1 w:val="02020609040205080304"/>
    <w:charset w:val="80"/>
    <w:family w:val="modern"/>
    <w:pitch w:val="default"/>
    <w:sig w:usb0="00000000" w:usb1="00000000" w:usb2="00000012" w:usb3="00000000" w:csb0="0002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EUDC">
    <w:panose1 w:val="02010600030101010101"/>
    <w:charset w:val="86"/>
    <w:family w:val="auto"/>
    <w:pitch w:val="default"/>
    <w:sig w:usb0="00000003" w:usb1="080E0031" w:usb2="00000000"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7712"/>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60F91"/>
    <w:multiLevelType w:val="multilevel"/>
    <w:tmpl w:val="1A560F9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30002CD9"/>
    <w:multiLevelType w:val="multilevel"/>
    <w:tmpl w:val="30002CD9"/>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42F86B80"/>
    <w:multiLevelType w:val="multilevel"/>
    <w:tmpl w:val="42F86B80"/>
    <w:lvl w:ilvl="0" w:tentative="0">
      <w:start w:val="1"/>
      <w:numFmt w:val="chineseCountingThousand"/>
      <w:lvlText w:val="%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66E24A15"/>
    <w:multiLevelType w:val="multilevel"/>
    <w:tmpl w:val="66E24A15"/>
    <w:lvl w:ilvl="0" w:tentative="0">
      <w:start w:val="1"/>
      <w:numFmt w:val="chineseCountingThousand"/>
      <w:lvlText w:val="%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6C123E0B"/>
    <w:multiLevelType w:val="multilevel"/>
    <w:tmpl w:val="6C123E0B"/>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6EC0056C"/>
    <w:multiLevelType w:val="multilevel"/>
    <w:tmpl w:val="6EC0056C"/>
    <w:lvl w:ilvl="0" w:tentative="0">
      <w:start w:val="2"/>
      <w:numFmt w:val="japaneseCounting"/>
      <w:lvlText w:val="%1、"/>
      <w:lvlJc w:val="left"/>
      <w:pPr>
        <w:ind w:left="840" w:hanging="720"/>
      </w:pPr>
      <w:rPr>
        <w:rFonts w:hint="default" w:cs="仿宋"/>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6">
    <w:nsid w:val="72DC29B5"/>
    <w:multiLevelType w:val="multilevel"/>
    <w:tmpl w:val="72DC29B5"/>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A7F22EB"/>
    <w:multiLevelType w:val="multilevel"/>
    <w:tmpl w:val="7A7F22E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73"/>
    <w:rsid w:val="000C3498"/>
    <w:rsid w:val="0016190F"/>
    <w:rsid w:val="002235C7"/>
    <w:rsid w:val="00245BE7"/>
    <w:rsid w:val="002C5F48"/>
    <w:rsid w:val="00344653"/>
    <w:rsid w:val="0035261A"/>
    <w:rsid w:val="003665F1"/>
    <w:rsid w:val="00372147"/>
    <w:rsid w:val="00385B93"/>
    <w:rsid w:val="00415234"/>
    <w:rsid w:val="00462E5B"/>
    <w:rsid w:val="004D2C44"/>
    <w:rsid w:val="004E4A61"/>
    <w:rsid w:val="00535625"/>
    <w:rsid w:val="005B5733"/>
    <w:rsid w:val="005D7C41"/>
    <w:rsid w:val="00620754"/>
    <w:rsid w:val="006E07CF"/>
    <w:rsid w:val="00721B6A"/>
    <w:rsid w:val="007A6DE4"/>
    <w:rsid w:val="007C0638"/>
    <w:rsid w:val="007E0F55"/>
    <w:rsid w:val="00820080"/>
    <w:rsid w:val="008A38D8"/>
    <w:rsid w:val="009270E7"/>
    <w:rsid w:val="0095589F"/>
    <w:rsid w:val="00967D52"/>
    <w:rsid w:val="00972E4E"/>
    <w:rsid w:val="0098626C"/>
    <w:rsid w:val="009A3CEA"/>
    <w:rsid w:val="009E6673"/>
    <w:rsid w:val="00A93B6F"/>
    <w:rsid w:val="00B57A51"/>
    <w:rsid w:val="00BE05E7"/>
    <w:rsid w:val="00BF1471"/>
    <w:rsid w:val="00C447FF"/>
    <w:rsid w:val="00C559FE"/>
    <w:rsid w:val="00D27DBA"/>
    <w:rsid w:val="00D60A53"/>
    <w:rsid w:val="00DC0AA0"/>
    <w:rsid w:val="00DF1B31"/>
    <w:rsid w:val="00E076F5"/>
    <w:rsid w:val="00E9134D"/>
    <w:rsid w:val="00E92E29"/>
    <w:rsid w:val="00ED3E10"/>
    <w:rsid w:val="00F530CD"/>
    <w:rsid w:val="00FE0459"/>
    <w:rsid w:val="7A29A7C3"/>
    <w:rsid w:val="7DF6639D"/>
    <w:rsid w:val="FCBB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nhideWhenUsed/>
    <w:qFormat/>
    <w:uiPriority w:val="0"/>
    <w:pPr>
      <w:widowControl/>
      <w:spacing w:before="100" w:beforeAutospacing="1" w:after="100" w:afterAutospacing="1"/>
      <w:jc w:val="left"/>
    </w:pPr>
    <w:rPr>
      <w:rFonts w:ascii="宋体" w:hAnsi="宋体"/>
      <w:color w:val="000000"/>
      <w:kern w:val="0"/>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link w:val="2"/>
    <w:qFormat/>
    <w:uiPriority w:val="0"/>
    <w:rPr>
      <w:rFonts w:ascii="宋体" w:hAnsi="宋体" w:eastAsia="宋体" w:cs="Times New Roman"/>
      <w:color w:val="000000"/>
      <w:kern w:val="0"/>
      <w:sz w:val="24"/>
      <w:szCs w:val="24"/>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character" w:customStyle="1" w:styleId="11">
    <w:name w:val="15"/>
    <w:basedOn w:val="7"/>
    <w:qFormat/>
    <w:uiPriority w:val="0"/>
    <w:rPr>
      <w:rFonts w:hint="default" w:ascii="Calibri" w:hAnsi="Calibri" w:cs="Calibri"/>
    </w:rPr>
  </w:style>
  <w:style w:type="paragraph" w:customStyle="1" w:styleId="12">
    <w:name w:val="列出段落1"/>
    <w:basedOn w:val="1"/>
    <w:qFormat/>
    <w:uiPriority w:val="0"/>
    <w:pPr>
      <w:ind w:firstLine="420" w:firstLineChars="200"/>
    </w:pPr>
    <w:rPr>
      <w:rFonts w:ascii="Times New Roman" w:hAnsi="Times New Roman"/>
    </w:rPr>
  </w:style>
  <w:style w:type="paragraph" w:styleId="13">
    <w:name w:val="List Paragraph"/>
    <w:basedOn w:val="1"/>
    <w:qFormat/>
    <w:uiPriority w:val="34"/>
    <w:pPr>
      <w:ind w:firstLine="420" w:firstLineChars="200"/>
    </w:pPr>
  </w:style>
  <w:style w:type="character" w:customStyle="1" w:styleId="14">
    <w:name w:val="批注框文本 字符"/>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640</Words>
  <Characters>3654</Characters>
  <Lines>30</Lines>
  <Paragraphs>8</Paragraphs>
  <TotalTime>57</TotalTime>
  <ScaleCrop>false</ScaleCrop>
  <LinksUpToDate>false</LinksUpToDate>
  <CharactersWithSpaces>4286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2022-06-30T01:21:00Z</dcterms:created>
  <dc:creator>DELL</dc:creator>
  <cp:lastModifiedBy>uos</cp:lastModifiedBy>
  <cp:lastPrinted>2023-03-09T06:36:00Z</cp:lastPrinted>
  <dcterms:modified xsi:type="dcterms:W3CDTF">2025-05-19T15:24:06Z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